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1397"/>
        <w:gridCol w:w="2320"/>
        <w:gridCol w:w="2749"/>
      </w:tblGrid>
      <w:tr w:rsidR="005209D9" w14:paraId="77542CF3" w14:textId="77777777" w:rsidTr="00B27BD8">
        <w:trPr>
          <w:trHeight w:val="699"/>
        </w:trPr>
        <w:tc>
          <w:tcPr>
            <w:tcW w:w="6993" w:type="dxa"/>
            <w:gridSpan w:val="3"/>
            <w:vAlign w:val="center"/>
          </w:tcPr>
          <w:p w14:paraId="74CB0642" w14:textId="77777777" w:rsidR="005209D9" w:rsidRPr="00695D0E" w:rsidRDefault="005209D9" w:rsidP="004E1F70">
            <w:pPr>
              <w:rPr>
                <w:rFonts w:cs="Arial"/>
                <w:b/>
                <w:color w:val="0088CC"/>
              </w:rPr>
            </w:pPr>
            <w:bookmarkStart w:id="0" w:name="_Hlk117002415"/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749" w:type="dxa"/>
            <w:vMerge w:val="restart"/>
          </w:tcPr>
          <w:p w14:paraId="2BBBF615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81CF1E8" wp14:editId="297901D6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C50E1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7317ABFD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6E2E0A75" w14:textId="77777777" w:rsidR="005209D9" w:rsidRPr="00B97A6A" w:rsidRDefault="005209D9" w:rsidP="004E1F70">
            <w:pPr>
              <w:rPr>
                <w:rFonts w:cs="Arial"/>
                <w:b/>
                <w:color w:val="000000"/>
              </w:rPr>
            </w:pPr>
          </w:p>
        </w:tc>
      </w:tr>
      <w:tr w:rsidR="005209D9" w14:paraId="4AC8D693" w14:textId="77777777" w:rsidTr="00B27BD8">
        <w:trPr>
          <w:trHeight w:val="375"/>
        </w:trPr>
        <w:tc>
          <w:tcPr>
            <w:tcW w:w="3276" w:type="dxa"/>
            <w:vAlign w:val="center"/>
          </w:tcPr>
          <w:p w14:paraId="734D6F9E" w14:textId="65DCD60F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="004A6141" w:rsidRPr="004A6141">
              <w:rPr>
                <w:rFonts w:cs="Arial"/>
                <w:b/>
                <w:color w:val="682A33"/>
                <w:sz w:val="28"/>
              </w:rPr>
              <w:t>Y3</w:t>
            </w:r>
          </w:p>
        </w:tc>
        <w:tc>
          <w:tcPr>
            <w:tcW w:w="3717" w:type="dxa"/>
            <w:gridSpan w:val="2"/>
            <w:vAlign w:val="center"/>
          </w:tcPr>
          <w:p w14:paraId="7CBFFEA6" w14:textId="77777777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2749" w:type="dxa"/>
            <w:vMerge/>
          </w:tcPr>
          <w:p w14:paraId="6C99290D" w14:textId="77777777" w:rsidR="005209D9" w:rsidRDefault="005209D9" w:rsidP="004E1F70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5209D9" w14:paraId="4ED27CCB" w14:textId="77777777" w:rsidTr="00B27BD8">
        <w:trPr>
          <w:trHeight w:val="418"/>
        </w:trPr>
        <w:tc>
          <w:tcPr>
            <w:tcW w:w="9742" w:type="dxa"/>
            <w:gridSpan w:val="4"/>
            <w:vAlign w:val="center"/>
          </w:tcPr>
          <w:p w14:paraId="15DCB32D" w14:textId="7C82A3DC" w:rsidR="005209D9" w:rsidRPr="00036A34" w:rsidRDefault="005209D9" w:rsidP="004E1F70">
            <w:pPr>
              <w:autoSpaceDE w:val="0"/>
              <w:autoSpaceDN w:val="0"/>
              <w:adjustRightInd w:val="0"/>
              <w:rPr>
                <w:rFonts w:cs="Arial"/>
                <w:b/>
                <w:color w:val="0088CE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="004A6141" w:rsidRPr="004A6141">
              <w:rPr>
                <w:rFonts w:ascii="Leelawadee" w:hAnsi="Leelawadee" w:cs="Leelawadee" w:hint="cs"/>
                <w:bCs/>
                <w:color w:val="000000"/>
                <w:szCs w:val="22"/>
              </w:rPr>
              <w:t xml:space="preserve">NC </w:t>
            </w:r>
            <w:r w:rsidR="004A6141" w:rsidRPr="002E1CF1">
              <w:rPr>
                <w:rFonts w:cs="Arial"/>
                <w:color w:val="000000"/>
              </w:rPr>
              <w:t>ref:</w:t>
            </w:r>
            <w:r w:rsidR="004A6141">
              <w:rPr>
                <w:rFonts w:cs="Arial"/>
                <w:color w:val="000000"/>
              </w:rPr>
              <w:t xml:space="preserve"> </w:t>
            </w:r>
            <w:r w:rsidR="004A6141" w:rsidRPr="003C66AC">
              <w:rPr>
                <w:rFonts w:ascii="Leelawadee" w:hAnsi="Leelawadee" w:cs="Leelawadee"/>
                <w:b/>
                <w:color w:val="682A33"/>
              </w:rPr>
              <w:t>Changes in Britain from the Stone Age to the Iron Age</w:t>
            </w:r>
            <w:r w:rsidR="004A6141" w:rsidRPr="003C66AC">
              <w:rPr>
                <w:rFonts w:cs="Arial"/>
                <w:b/>
                <w:color w:val="682A33"/>
              </w:rPr>
              <w:t>.</w:t>
            </w:r>
          </w:p>
        </w:tc>
      </w:tr>
      <w:tr w:rsidR="005209D9" w14:paraId="77640A9D" w14:textId="77777777" w:rsidTr="004A6141">
        <w:trPr>
          <w:trHeight w:val="423"/>
        </w:trPr>
        <w:tc>
          <w:tcPr>
            <w:tcW w:w="4673" w:type="dxa"/>
            <w:gridSpan w:val="2"/>
            <w:shd w:val="clear" w:color="auto" w:fill="B8DCF2"/>
            <w:vAlign w:val="center"/>
          </w:tcPr>
          <w:p w14:paraId="7C0A6177" w14:textId="22340935" w:rsidR="005209D9" w:rsidRPr="00B97A6A" w:rsidRDefault="00962011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make progress in:</w:t>
            </w:r>
          </w:p>
        </w:tc>
        <w:tc>
          <w:tcPr>
            <w:tcW w:w="5069" w:type="dxa"/>
            <w:gridSpan w:val="2"/>
            <w:shd w:val="clear" w:color="auto" w:fill="B8DCF2"/>
            <w:vAlign w:val="center"/>
          </w:tcPr>
          <w:p w14:paraId="354A1DBF" w14:textId="77777777" w:rsidR="005209D9" w:rsidRPr="00844742" w:rsidRDefault="005209D9" w:rsidP="004E1F70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5209D9" w14:paraId="48858657" w14:textId="77777777" w:rsidTr="004A6141">
        <w:trPr>
          <w:trHeight w:val="3429"/>
        </w:trPr>
        <w:tc>
          <w:tcPr>
            <w:tcW w:w="4673" w:type="dxa"/>
            <w:gridSpan w:val="2"/>
          </w:tcPr>
          <w:p w14:paraId="53F82E42" w14:textId="10A9BAA4" w:rsidR="005209D9" w:rsidRPr="00962011" w:rsidRDefault="005209D9" w:rsidP="004E1F70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4C773A10" w14:textId="77777777" w:rsidR="004A6141" w:rsidRPr="004A6141" w:rsidRDefault="004A6141" w:rsidP="004A6141">
            <w:pPr>
              <w:spacing w:after="60"/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</w:pPr>
            <w:r w:rsidRPr="004A6141"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  <w:t>Knowledge of the types of resources peoples from the different ages could access.</w:t>
            </w:r>
          </w:p>
          <w:p w14:paraId="14FB66A2" w14:textId="77777777" w:rsidR="004A6141" w:rsidRPr="004A6141" w:rsidRDefault="004A6141" w:rsidP="004A6141">
            <w:pPr>
              <w:spacing w:after="60"/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</w:pPr>
            <w:r w:rsidRPr="004A6141"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  <w:t xml:space="preserve">Knowledge of the skills people in the different ages developed to allow them to survive and thrive. </w:t>
            </w:r>
          </w:p>
          <w:p w14:paraId="0B9D2122" w14:textId="77777777" w:rsidR="004A6141" w:rsidRPr="004A6141" w:rsidRDefault="004A6141" w:rsidP="004A6141">
            <w:pPr>
              <w:spacing w:after="60"/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</w:pPr>
            <w:r w:rsidRPr="004A6141"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  <w:t xml:space="preserve">What the main technological and agricultural developments were across the periods. </w:t>
            </w:r>
          </w:p>
          <w:p w14:paraId="396AF3E1" w14:textId="52FD04A3" w:rsidR="005209D9" w:rsidRPr="00197E83" w:rsidRDefault="004A6141" w:rsidP="004A6141">
            <w:pPr>
              <w:spacing w:after="120"/>
              <w:rPr>
                <w:rFonts w:cs="Arial"/>
                <w:i/>
                <w:color w:val="003399"/>
              </w:rPr>
            </w:pPr>
            <w:r w:rsidRPr="004A6141">
              <w:rPr>
                <w:rFonts w:ascii="Leelawadee" w:hAnsi="Leelawadee" w:cs="Leelawadee"/>
                <w:i/>
                <w:color w:val="682A33"/>
                <w:sz w:val="22"/>
                <w:szCs w:val="22"/>
              </w:rPr>
              <w:t>Knowledge of changing religious practices or burial practices.</w:t>
            </w:r>
          </w:p>
        </w:tc>
        <w:tc>
          <w:tcPr>
            <w:tcW w:w="5069" w:type="dxa"/>
            <w:gridSpan w:val="2"/>
          </w:tcPr>
          <w:p w14:paraId="45D6F754" w14:textId="77777777" w:rsidR="004A6141" w:rsidRPr="003C66AC" w:rsidRDefault="004A6141" w:rsidP="004A6141">
            <w:pPr>
              <w:spacing w:after="40"/>
              <w:rPr>
                <w:rFonts w:ascii="Leelawadee" w:hAnsi="Leelawadee" w:cs="Leelawadee"/>
                <w:i/>
                <w:color w:val="682A33"/>
                <w:sz w:val="23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Can explain that at first people only had natural materials to make shelters or clothes from </w:t>
            </w:r>
            <w:proofErr w:type="gramStart"/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e.g.</w:t>
            </w:r>
            <w:proofErr w:type="gramEnd"/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 wood, stone, bone, animal skins etc.  </w:t>
            </w:r>
          </w:p>
          <w:p w14:paraId="62DB3D8F" w14:textId="77777777" w:rsidR="004A6141" w:rsidRPr="003C66AC" w:rsidRDefault="004A6141" w:rsidP="004A6141">
            <w:pPr>
              <w:spacing w:after="40"/>
              <w:rPr>
                <w:rFonts w:ascii="Leelawadee" w:hAnsi="Leelawadee" w:cs="Leelawadee"/>
                <w:i/>
                <w:color w:val="682A33"/>
                <w:sz w:val="23"/>
              </w:rPr>
            </w:pPr>
            <w:r>
              <w:rPr>
                <w:rFonts w:ascii="Leelawadee" w:hAnsi="Leelawadee" w:cs="Leelawadee"/>
                <w:i/>
                <w:color w:val="682A33"/>
                <w:sz w:val="23"/>
              </w:rPr>
              <w:t>Knows that the change to farming marked the beginning of the Neolithic</w:t>
            </w: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. </w:t>
            </w:r>
          </w:p>
          <w:p w14:paraId="0FD5944F" w14:textId="77777777" w:rsidR="004A6141" w:rsidRPr="003C66AC" w:rsidRDefault="004A6141" w:rsidP="004A6141">
            <w:pPr>
              <w:spacing w:after="40"/>
              <w:rPr>
                <w:rFonts w:ascii="Leelawadee" w:hAnsi="Leelawadee" w:cs="Leelawadee"/>
                <w:i/>
                <w:color w:val="682A33"/>
                <w:sz w:val="23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Can </w:t>
            </w:r>
            <w:r>
              <w:rPr>
                <w:rFonts w:ascii="Leelawadee" w:hAnsi="Leelawadee" w:cs="Leelawadee"/>
                <w:i/>
                <w:color w:val="682A33"/>
                <w:sz w:val="23"/>
              </w:rPr>
              <w:t>explain</w:t>
            </w: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 how metals improved </w:t>
            </w:r>
            <w:r>
              <w:rPr>
                <w:rFonts w:ascii="Leelawadee" w:hAnsi="Leelawadee" w:cs="Leelawadee"/>
                <w:i/>
                <w:color w:val="682A33"/>
                <w:sz w:val="23"/>
              </w:rPr>
              <w:t xml:space="preserve">farming </w:t>
            </w: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and ways in which iron could be seen as better than bronze.</w:t>
            </w:r>
          </w:p>
          <w:p w14:paraId="0FA749C2" w14:textId="77777777" w:rsidR="004A6141" w:rsidRPr="003C66AC" w:rsidRDefault="004A6141" w:rsidP="004A6141">
            <w:pPr>
              <w:spacing w:after="40"/>
              <w:rPr>
                <w:rFonts w:ascii="Leelawadee" w:hAnsi="Leelawadee" w:cs="Leelawadee"/>
                <w:i/>
                <w:color w:val="682A33"/>
                <w:sz w:val="23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Knows that over a long period people were building Stonehenge, Avebury etc, but then stopped adding to them.</w:t>
            </w:r>
          </w:p>
          <w:p w14:paraId="24DCDFE1" w14:textId="1FC54DA7" w:rsidR="005209D9" w:rsidRPr="003457A7" w:rsidRDefault="004A6141" w:rsidP="004A6141">
            <w:pPr>
              <w:spacing w:after="60"/>
              <w:rPr>
                <w:rFonts w:cs="Arial"/>
                <w:bCs/>
                <w:i/>
                <w:iCs/>
                <w:color w:val="003399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Can name some forms of burial, </w:t>
            </w:r>
            <w:proofErr w:type="gramStart"/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e.g.</w:t>
            </w:r>
            <w:proofErr w:type="gramEnd"/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 long barrow, cremation urns</w:t>
            </w:r>
          </w:p>
        </w:tc>
      </w:tr>
      <w:tr w:rsidR="005209D9" w14:paraId="5685F893" w14:textId="77777777" w:rsidTr="0033728B">
        <w:trPr>
          <w:trHeight w:val="3915"/>
        </w:trPr>
        <w:tc>
          <w:tcPr>
            <w:tcW w:w="4673" w:type="dxa"/>
            <w:gridSpan w:val="2"/>
          </w:tcPr>
          <w:p w14:paraId="457F9C02" w14:textId="24826B72" w:rsidR="005209D9" w:rsidRPr="00962011" w:rsidRDefault="005209D9" w:rsidP="004E1F70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Disciplinary knowledge: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70D5260E" w14:textId="77777777" w:rsidR="004A6141" w:rsidRPr="003C66AC" w:rsidRDefault="004A6141" w:rsidP="004A6141">
            <w:pPr>
              <w:spacing w:after="60"/>
              <w:rPr>
                <w:rFonts w:ascii="Leelawadee" w:hAnsi="Leelawadee" w:cs="Leelawadee"/>
                <w:b/>
              </w:rPr>
            </w:pPr>
            <w:r w:rsidRPr="003C66AC">
              <w:rPr>
                <w:rFonts w:ascii="Leelawadee" w:hAnsi="Leelawadee" w:cs="Leelawadee"/>
                <w:b/>
              </w:rPr>
              <w:t>Characteristic features Y3 ARE</w:t>
            </w:r>
          </w:p>
          <w:p w14:paraId="3C21EB1C" w14:textId="77777777" w:rsidR="004A6141" w:rsidRPr="003C66AC" w:rsidRDefault="004A6141" w:rsidP="004A6141">
            <w:pPr>
              <w:spacing w:after="60"/>
              <w:rPr>
                <w:rFonts w:ascii="Leelawadee" w:hAnsi="Leelawadee" w:cs="Leelawadee"/>
                <w:i/>
                <w:color w:val="682A33"/>
              </w:rPr>
            </w:pPr>
            <w:r w:rsidRPr="003C66AC">
              <w:rPr>
                <w:rFonts w:ascii="Leelawadee" w:hAnsi="Leelawadee" w:cs="Leelawadee"/>
                <w:i/>
                <w:color w:val="682A33"/>
              </w:rPr>
              <w:t>Can describe main features associated with the period/ civilization studied, mostly using period specific language.</w:t>
            </w:r>
          </w:p>
          <w:p w14:paraId="7C456D1B" w14:textId="77777777" w:rsidR="004A6141" w:rsidRPr="003C66AC" w:rsidRDefault="004A6141" w:rsidP="004A6141">
            <w:pPr>
              <w:spacing w:after="60"/>
              <w:rPr>
                <w:rFonts w:ascii="Leelawadee" w:hAnsi="Leelawadee" w:cs="Leelawadee"/>
                <w:b/>
              </w:rPr>
            </w:pPr>
            <w:r w:rsidRPr="003C66AC">
              <w:rPr>
                <w:rFonts w:ascii="Leelawadee" w:hAnsi="Leelawadee" w:cs="Leelawadee"/>
                <w:b/>
              </w:rPr>
              <w:t>Interpretation Y3 ARE</w:t>
            </w:r>
          </w:p>
          <w:p w14:paraId="6ED589CB" w14:textId="0E77A025" w:rsidR="005209D9" w:rsidRPr="00C630EA" w:rsidRDefault="004A6141" w:rsidP="004A6141">
            <w:pPr>
              <w:spacing w:before="120" w:after="60"/>
              <w:rPr>
                <w:rFonts w:ascii="Leelawadee" w:hAnsi="Leelawadee" w:cs="Leelawadee"/>
                <w:i/>
                <w:iCs/>
                <w:color w:val="003399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Cs w:val="22"/>
              </w:rPr>
              <w:t>Can recognise differences between versions of the same event and can give a simple explanation of why we might have more than one version.</w:t>
            </w:r>
          </w:p>
        </w:tc>
        <w:tc>
          <w:tcPr>
            <w:tcW w:w="5069" w:type="dxa"/>
            <w:gridSpan w:val="2"/>
          </w:tcPr>
          <w:p w14:paraId="32B32BAD" w14:textId="1E9F5F3F" w:rsidR="004A6141" w:rsidRPr="004A6141" w:rsidRDefault="004A6141" w:rsidP="004A6141">
            <w:pPr>
              <w:spacing w:before="120"/>
              <w:rPr>
                <w:rFonts w:ascii="Leelawadee" w:hAnsi="Leelawadee" w:cs="Leelawadee"/>
                <w:i/>
                <w:color w:val="682A33"/>
                <w:sz w:val="23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 xml:space="preserve">Can identify differences and similarities between the different ages, especially in relation to the </w:t>
            </w:r>
            <w:r>
              <w:rPr>
                <w:rFonts w:ascii="Leelawadee" w:hAnsi="Leelawadee" w:cs="Leelawadee"/>
                <w:i/>
                <w:color w:val="682A33"/>
                <w:sz w:val="23"/>
              </w:rPr>
              <w:t xml:space="preserve">coming of farming and </w:t>
            </w: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the use of first bronze, then iron</w:t>
            </w:r>
            <w:r>
              <w:rPr>
                <w:rFonts w:ascii="Leelawadee" w:hAnsi="Leelawadee" w:cs="Leelawadee"/>
                <w:i/>
                <w:color w:val="682A33"/>
                <w:sz w:val="23"/>
              </w:rPr>
              <w:t xml:space="preserve"> and the impact of all of these</w:t>
            </w: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.</w:t>
            </w:r>
          </w:p>
          <w:p w14:paraId="1C18144D" w14:textId="77777777" w:rsidR="004A6141" w:rsidRPr="003C66AC" w:rsidRDefault="004A6141" w:rsidP="004A6141">
            <w:pPr>
              <w:rPr>
                <w:rFonts w:ascii="Leelawadee" w:hAnsi="Leelawadee" w:cs="Leelawadee"/>
                <w:i/>
                <w:color w:val="682A33"/>
                <w:sz w:val="23"/>
              </w:rPr>
            </w:pPr>
            <w:r w:rsidRPr="00012BEC">
              <w:rPr>
                <w:rFonts w:ascii="Leelawadee" w:hAnsi="Leelawadee" w:cs="Leelawadee"/>
                <w:i/>
                <w:color w:val="682A33"/>
                <w:sz w:val="23"/>
              </w:rPr>
              <w:t>Explains that as there is only archaeological evidence about these periods - no written accounts or pictures</w:t>
            </w: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, knowing for sure about life so long ago is difficult.</w:t>
            </w:r>
          </w:p>
          <w:p w14:paraId="7E106880" w14:textId="4FCDD19E" w:rsidR="005209D9" w:rsidRPr="004A6141" w:rsidRDefault="004A6141" w:rsidP="004A6141">
            <w:pPr>
              <w:rPr>
                <w:rFonts w:cs="Arial"/>
                <w:i/>
                <w:iCs/>
                <w:color w:val="003399"/>
                <w:sz w:val="22"/>
                <w:szCs w:val="22"/>
              </w:rPr>
            </w:pPr>
            <w:r w:rsidRPr="003C66AC">
              <w:rPr>
                <w:rFonts w:ascii="Leelawadee" w:hAnsi="Leelawadee" w:cs="Leelawadee"/>
                <w:i/>
                <w:color w:val="682A33"/>
                <w:sz w:val="23"/>
              </w:rPr>
              <w:t>Understands the issue of underestimating their worth ‘Some people think they weren’t clever because they didn’t have machines, electricity and stuff.’</w:t>
            </w:r>
          </w:p>
        </w:tc>
      </w:tr>
      <w:tr w:rsidR="005209D9" w14:paraId="48578256" w14:textId="77777777" w:rsidTr="0033728B">
        <w:trPr>
          <w:trHeight w:val="839"/>
        </w:trPr>
        <w:tc>
          <w:tcPr>
            <w:tcW w:w="9742" w:type="dxa"/>
            <w:gridSpan w:val="4"/>
          </w:tcPr>
          <w:p w14:paraId="36636E95" w14:textId="77777777" w:rsidR="004A6141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Key Question to drive the enquiry to promote</w:t>
            </w:r>
            <w:r w:rsidR="00CF4FE7">
              <w:rPr>
                <w:rFonts w:cs="Arial"/>
                <w:b/>
                <w:color w:val="000000"/>
              </w:rPr>
              <w:t xml:space="preserve"> children’s progress</w:t>
            </w:r>
            <w:r>
              <w:rPr>
                <w:rFonts w:cs="Arial"/>
                <w:b/>
                <w:color w:val="000000"/>
              </w:rPr>
              <w:t>:</w:t>
            </w:r>
          </w:p>
          <w:p w14:paraId="05527B79" w14:textId="5C7343D6" w:rsidR="005209D9" w:rsidRPr="00962011" w:rsidRDefault="004A6141" w:rsidP="00962011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ascii="Leelawadee" w:hAnsi="Leelawadee" w:cs="Leelawadee"/>
                <w:b/>
                <w:i/>
                <w:color w:val="682A33"/>
              </w:rPr>
              <w:t>H</w:t>
            </w:r>
            <w:r w:rsidRPr="003C66AC">
              <w:rPr>
                <w:rFonts w:ascii="Leelawadee" w:hAnsi="Leelawadee" w:cs="Leelawadee"/>
                <w:b/>
                <w:i/>
                <w:color w:val="682A33"/>
              </w:rPr>
              <w:t xml:space="preserve">ow did life change between the Neolithic, </w:t>
            </w:r>
            <w:proofErr w:type="gramStart"/>
            <w:r w:rsidRPr="003C66AC">
              <w:rPr>
                <w:rFonts w:ascii="Leelawadee" w:hAnsi="Leelawadee" w:cs="Leelawadee"/>
                <w:b/>
                <w:i/>
                <w:color w:val="682A33"/>
              </w:rPr>
              <w:t>Bronze</w:t>
            </w:r>
            <w:proofErr w:type="gramEnd"/>
            <w:r w:rsidRPr="003C66AC">
              <w:rPr>
                <w:rFonts w:ascii="Leelawadee" w:hAnsi="Leelawadee" w:cs="Leelawadee"/>
                <w:b/>
                <w:i/>
                <w:color w:val="682A33"/>
              </w:rPr>
              <w:t xml:space="preserve"> and Iron Ages?</w:t>
            </w:r>
            <w:r w:rsidR="005209D9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33728B" w14:paraId="70D943C8" w14:textId="77777777" w:rsidTr="004D5FCE">
        <w:trPr>
          <w:trHeight w:val="471"/>
        </w:trPr>
        <w:tc>
          <w:tcPr>
            <w:tcW w:w="4673" w:type="dxa"/>
            <w:gridSpan w:val="2"/>
            <w:tcBorders>
              <w:bottom w:val="nil"/>
            </w:tcBorders>
          </w:tcPr>
          <w:p w14:paraId="1E7DC418" w14:textId="0734FFF2" w:rsidR="0033728B" w:rsidRPr="00962011" w:rsidRDefault="0033728B" w:rsidP="00962011">
            <w:pPr>
              <w:rPr>
                <w:rFonts w:cs="Arial"/>
                <w:b/>
                <w:bCs/>
                <w:iCs/>
                <w:color w:val="000000"/>
              </w:rPr>
            </w:pPr>
            <w:r w:rsidRPr="00962011">
              <w:rPr>
                <w:rFonts w:cs="Arial"/>
                <w:b/>
                <w:bCs/>
                <w:iCs/>
                <w:color w:val="000000"/>
              </w:rPr>
              <w:t>Kn</w:t>
            </w:r>
            <w:r>
              <w:rPr>
                <w:rFonts w:cs="Arial"/>
                <w:b/>
                <w:bCs/>
                <w:iCs/>
                <w:color w:val="000000"/>
              </w:rPr>
              <w:t>o</w:t>
            </w:r>
            <w:r w:rsidRPr="00962011">
              <w:rPr>
                <w:rFonts w:cs="Arial"/>
                <w:b/>
                <w:bCs/>
                <w:iCs/>
                <w:color w:val="000000"/>
              </w:rPr>
              <w:t>wledge specific vocabulary</w:t>
            </w:r>
            <w:r>
              <w:rPr>
                <w:rFonts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069" w:type="dxa"/>
            <w:gridSpan w:val="2"/>
            <w:vMerge w:val="restart"/>
          </w:tcPr>
          <w:p w14:paraId="73509F79" w14:textId="77777777" w:rsidR="0033728B" w:rsidRPr="00C34244" w:rsidRDefault="0033728B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7702CBAE" w14:textId="77777777" w:rsidR="0033728B" w:rsidRDefault="0033728B" w:rsidP="00962011">
            <w:pPr>
              <w:spacing w:after="24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414CD39D" w14:textId="0FD8A8B2" w:rsidR="0033728B" w:rsidRPr="00C34244" w:rsidRDefault="0033728B" w:rsidP="004D5FCE">
            <w:pPr>
              <w:spacing w:after="4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  <w:r w:rsidRPr="00A259CB">
              <w:rPr>
                <w:rFonts w:ascii="Leelawadee" w:hAnsi="Leelawadee" w:cs="Leelawadee"/>
                <w:i/>
                <w:color w:val="682A33"/>
                <w:sz w:val="22"/>
              </w:rPr>
              <w:t xml:space="preserve"> </w:t>
            </w:r>
            <w:r w:rsidRPr="00A259CB">
              <w:rPr>
                <w:rFonts w:ascii="Leelawadee" w:hAnsi="Leelawadee" w:cs="Leelawadee"/>
                <w:i/>
                <w:color w:val="682A33"/>
                <w:sz w:val="22"/>
              </w:rPr>
              <w:t>Develops understanding that achievement is partly dependent on circumstance.</w:t>
            </w:r>
          </w:p>
          <w:p w14:paraId="5CB1E0DA" w14:textId="77777777" w:rsidR="0033728B" w:rsidRDefault="0033728B" w:rsidP="004A6141">
            <w:pPr>
              <w:rPr>
                <w:rFonts w:ascii="Leelawadee" w:hAnsi="Leelawadee" w:cs="Leelawadee"/>
                <w:i/>
                <w:color w:val="682A33"/>
                <w:sz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  <w:r w:rsidRPr="00A259CB">
              <w:rPr>
                <w:rFonts w:ascii="Leelawadee" w:hAnsi="Leelawadee" w:cs="Leelawadee"/>
                <w:i/>
                <w:color w:val="682A33"/>
                <w:sz w:val="22"/>
              </w:rPr>
              <w:t xml:space="preserve"> </w:t>
            </w:r>
            <w:r w:rsidRPr="00012BEC">
              <w:rPr>
                <w:rFonts w:ascii="Leelawadee" w:hAnsi="Leelawadee" w:cs="Leelawadee"/>
                <w:i/>
                <w:color w:val="682A33"/>
                <w:sz w:val="22"/>
              </w:rPr>
              <w:t>Group work/collaboration.</w:t>
            </w:r>
            <w:r w:rsidRPr="00012BEC">
              <w:rPr>
                <w:rFonts w:cs="Arial"/>
                <w:i/>
                <w:color w:val="682A33"/>
                <w:sz w:val="22"/>
              </w:rPr>
              <w:t xml:space="preserve"> </w:t>
            </w:r>
            <w:r w:rsidRPr="00012BEC">
              <w:rPr>
                <w:rFonts w:ascii="Leelawadee" w:hAnsi="Leelawadee" w:cs="Leelawadee"/>
                <w:i/>
                <w:color w:val="682A33"/>
                <w:sz w:val="22"/>
              </w:rPr>
              <w:t>Exploring the stories of past incomers to Britain promotes better understanding of incomers now.</w:t>
            </w:r>
          </w:p>
          <w:p w14:paraId="7A963E19" w14:textId="35AA2DF5" w:rsidR="0033728B" w:rsidRPr="004A6141" w:rsidRDefault="0033728B" w:rsidP="004A6141">
            <w:pPr>
              <w:rPr>
                <w:rFonts w:ascii="Leelawadee" w:hAnsi="Leelawadee" w:cs="Leelawadee"/>
                <w:i/>
                <w:color w:val="682A33"/>
                <w:sz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</w:tc>
      </w:tr>
      <w:tr w:rsidR="0033728B" w14:paraId="3A309F27" w14:textId="77777777" w:rsidTr="004D5FCE">
        <w:trPr>
          <w:trHeight w:val="1280"/>
        </w:trPr>
        <w:tc>
          <w:tcPr>
            <w:tcW w:w="4673" w:type="dxa"/>
            <w:gridSpan w:val="2"/>
            <w:tcBorders>
              <w:top w:val="nil"/>
            </w:tcBorders>
          </w:tcPr>
          <w:p w14:paraId="517646A4" w14:textId="5D01AC77" w:rsidR="0033728B" w:rsidRPr="004D5FCE" w:rsidRDefault="0033728B" w:rsidP="00962011">
            <w:pPr>
              <w:spacing w:after="120"/>
              <w:rPr>
                <w:rFonts w:cs="Arial"/>
                <w:i/>
                <w:color w:val="682A33"/>
              </w:rPr>
            </w:pPr>
            <w:r w:rsidRPr="004D5FCE">
              <w:rPr>
                <w:rFonts w:cs="Arial"/>
                <w:i/>
                <w:color w:val="682A33"/>
              </w:rPr>
              <w:t xml:space="preserve">A </w:t>
            </w:r>
            <w:r w:rsidRPr="004D5FCE">
              <w:rPr>
                <w:rFonts w:cs="Arial"/>
                <w:b/>
                <w:bCs/>
                <w:i/>
                <w:color w:val="682A33"/>
              </w:rPr>
              <w:t>glossary</w:t>
            </w:r>
            <w:r w:rsidRPr="004D5FCE">
              <w:rPr>
                <w:rFonts w:cs="Arial"/>
                <w:i/>
                <w:color w:val="682A33"/>
              </w:rPr>
              <w:t xml:space="preserve"> is included on the CD and a </w:t>
            </w:r>
            <w:r w:rsidRPr="004D5FCE">
              <w:rPr>
                <w:rFonts w:cs="Arial"/>
                <w:b/>
                <w:bCs/>
                <w:i/>
                <w:color w:val="682A33"/>
              </w:rPr>
              <w:t>word bank</w:t>
            </w:r>
            <w:r w:rsidRPr="004D5FCE">
              <w:rPr>
                <w:rFonts w:cs="Arial"/>
                <w:i/>
                <w:color w:val="682A33"/>
              </w:rPr>
              <w:t xml:space="preserve"> (same words as the glossary) is included on RS1</w:t>
            </w:r>
          </w:p>
          <w:p w14:paraId="6421C48A" w14:textId="24423C4E" w:rsidR="0033728B" w:rsidRPr="00455D37" w:rsidRDefault="0033728B" w:rsidP="00962011">
            <w:pPr>
              <w:spacing w:after="120"/>
              <w:rPr>
                <w:rFonts w:cs="Arial"/>
                <w:i/>
                <w:color w:val="000000"/>
              </w:rPr>
            </w:pPr>
          </w:p>
        </w:tc>
        <w:tc>
          <w:tcPr>
            <w:tcW w:w="5069" w:type="dxa"/>
            <w:gridSpan w:val="2"/>
            <w:vMerge/>
          </w:tcPr>
          <w:p w14:paraId="7E7DC662" w14:textId="77777777" w:rsidR="0033728B" w:rsidRPr="00C34244" w:rsidRDefault="0033728B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33728B" w14:paraId="73316175" w14:textId="77777777" w:rsidTr="004B66FA">
        <w:trPr>
          <w:trHeight w:val="1280"/>
        </w:trPr>
        <w:tc>
          <w:tcPr>
            <w:tcW w:w="4673" w:type="dxa"/>
            <w:gridSpan w:val="2"/>
          </w:tcPr>
          <w:p w14:paraId="1341A208" w14:textId="176DD0FF" w:rsidR="0033728B" w:rsidRDefault="0033728B" w:rsidP="00962011">
            <w:pPr>
              <w:spacing w:after="120"/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</w:tc>
        <w:tc>
          <w:tcPr>
            <w:tcW w:w="5069" w:type="dxa"/>
            <w:gridSpan w:val="2"/>
            <w:vMerge/>
            <w:tcBorders>
              <w:bottom w:val="single" w:sz="4" w:space="0" w:color="auto"/>
            </w:tcBorders>
          </w:tcPr>
          <w:p w14:paraId="57F1D2D0" w14:textId="77777777" w:rsidR="0033728B" w:rsidRPr="00C34244" w:rsidRDefault="0033728B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5209D9" w14:paraId="08B4B8A9" w14:textId="77777777" w:rsidTr="00962011">
        <w:trPr>
          <w:trHeight w:val="888"/>
        </w:trPr>
        <w:tc>
          <w:tcPr>
            <w:tcW w:w="9742" w:type="dxa"/>
            <w:gridSpan w:val="4"/>
          </w:tcPr>
          <w:p w14:paraId="22F577FA" w14:textId="77777777" w:rsidR="005209D9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Resources</w:t>
            </w:r>
            <w:r w:rsidR="00387157">
              <w:rPr>
                <w:rFonts w:cs="Arial"/>
                <w:b/>
                <w:color w:val="000000"/>
              </w:rPr>
              <w:t>/visits etc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  <w:p w14:paraId="3E086A51" w14:textId="77777777" w:rsidR="0033728B" w:rsidRPr="003C66AC" w:rsidRDefault="0033728B" w:rsidP="0033728B">
            <w:pPr>
              <w:rPr>
                <w:rFonts w:ascii="Leelawadee" w:hAnsi="Leelawadee" w:cs="Leelawadee"/>
                <w:i/>
              </w:rPr>
            </w:pPr>
            <w:r w:rsidRPr="003C66AC">
              <w:rPr>
                <w:rFonts w:ascii="Leelawadee" w:hAnsi="Leelawadee" w:cs="Leelawadee"/>
                <w:b/>
                <w:i/>
                <w:color w:val="682A33"/>
              </w:rPr>
              <w:t xml:space="preserve">Stone, </w:t>
            </w:r>
            <w:proofErr w:type="gramStart"/>
            <w:r w:rsidRPr="003C66AC">
              <w:rPr>
                <w:rFonts w:ascii="Leelawadee" w:hAnsi="Leelawadee" w:cs="Leelawadee"/>
                <w:b/>
                <w:i/>
                <w:color w:val="682A33"/>
              </w:rPr>
              <w:t>bronze</w:t>
            </w:r>
            <w:proofErr w:type="gramEnd"/>
            <w:r w:rsidRPr="003C66AC">
              <w:rPr>
                <w:rFonts w:ascii="Leelawadee" w:hAnsi="Leelawadee" w:cs="Leelawadee"/>
                <w:b/>
                <w:i/>
                <w:color w:val="682A33"/>
              </w:rPr>
              <w:t xml:space="preserve"> and Iron age</w:t>
            </w:r>
            <w:r w:rsidRPr="003C66AC">
              <w:rPr>
                <w:rFonts w:cs="Arial"/>
                <w:b/>
                <w:i/>
                <w:color w:val="00918E"/>
              </w:rPr>
              <w:t xml:space="preserve"> </w:t>
            </w:r>
            <w:r w:rsidRPr="003C66AC">
              <w:rPr>
                <w:rFonts w:ascii="Leelawadee" w:hAnsi="Leelawadee" w:cs="Leelawadee"/>
                <w:i/>
              </w:rPr>
              <w:t>loan collection</w:t>
            </w:r>
            <w:r w:rsidRPr="003C66AC">
              <w:rPr>
                <w:rFonts w:ascii="Leelawadee" w:hAnsi="Leelawadee" w:cs="Leelawadee"/>
                <w:b/>
                <w:i/>
              </w:rPr>
              <w:t xml:space="preserve"> </w:t>
            </w:r>
            <w:r w:rsidRPr="003C66AC">
              <w:rPr>
                <w:rFonts w:ascii="Leelawadee" w:hAnsi="Leelawadee" w:cs="Leelawadee"/>
                <w:i/>
              </w:rPr>
              <w:t>from the History Curriculum Centre</w:t>
            </w:r>
          </w:p>
          <w:p w14:paraId="522C4DE2" w14:textId="63E37D9D" w:rsidR="0033728B" w:rsidRPr="00962011" w:rsidRDefault="0033728B" w:rsidP="0033728B">
            <w:pPr>
              <w:spacing w:after="60"/>
              <w:rPr>
                <w:rFonts w:cs="Arial"/>
                <w:b/>
                <w:color w:val="000000"/>
              </w:rPr>
            </w:pPr>
            <w:r w:rsidRPr="003C66AC">
              <w:rPr>
                <w:rFonts w:ascii="Leelawadee" w:hAnsi="Leelawadee" w:cs="Leelawadee"/>
                <w:i/>
              </w:rPr>
              <w:t xml:space="preserve">Possible visits: </w:t>
            </w:r>
            <w:r w:rsidRPr="003C66AC">
              <w:rPr>
                <w:rFonts w:ascii="Leelawadee" w:hAnsi="Leelawadee" w:cs="Leelawadee"/>
                <w:i/>
                <w:color w:val="682A33"/>
              </w:rPr>
              <w:t>Stonehenge landscape, Museum of the Iron Age, Iron Age hill fort</w:t>
            </w:r>
            <w:r w:rsidRPr="003C66AC">
              <w:rPr>
                <w:rFonts w:ascii="Leelawadee" w:hAnsi="Leelawadee" w:cs="Leelawadee"/>
                <w:i/>
              </w:rPr>
              <w:t xml:space="preserve">  </w:t>
            </w:r>
          </w:p>
        </w:tc>
      </w:tr>
      <w:bookmarkEnd w:id="0"/>
    </w:tbl>
    <w:p w14:paraId="4150104D" w14:textId="77777777" w:rsidR="00E418BD" w:rsidRPr="00C34244" w:rsidRDefault="00E418BD">
      <w:pPr>
        <w:rPr>
          <w:sz w:val="4"/>
          <w:szCs w:val="16"/>
        </w:rPr>
      </w:pPr>
    </w:p>
    <w:sectPr w:rsidR="00E418BD" w:rsidRPr="00C34244" w:rsidSect="005209D9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9"/>
    <w:rsid w:val="002B61C6"/>
    <w:rsid w:val="0033728B"/>
    <w:rsid w:val="00387157"/>
    <w:rsid w:val="00396F03"/>
    <w:rsid w:val="004A6141"/>
    <w:rsid w:val="004D5FCE"/>
    <w:rsid w:val="005209D9"/>
    <w:rsid w:val="007367AB"/>
    <w:rsid w:val="00962011"/>
    <w:rsid w:val="009646BD"/>
    <w:rsid w:val="00B27BD8"/>
    <w:rsid w:val="00C34244"/>
    <w:rsid w:val="00CF4FE7"/>
    <w:rsid w:val="00E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92B8"/>
  <w15:chartTrackingRefBased/>
  <w15:docId w15:val="{B30F2988-6379-4104-BAE8-D15EE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2</cp:revision>
  <dcterms:created xsi:type="dcterms:W3CDTF">2022-10-18T15:28:00Z</dcterms:created>
  <dcterms:modified xsi:type="dcterms:W3CDTF">2022-10-18T15:28:00Z</dcterms:modified>
</cp:coreProperties>
</file>